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F1" w:rsidRPr="00C635F1" w:rsidRDefault="00703C83" w:rsidP="004C0FA3">
      <w:pPr>
        <w:tabs>
          <w:tab w:val="left" w:pos="5370"/>
        </w:tabs>
        <w:spacing w:line="360" w:lineRule="auto"/>
        <w:ind w:left="-142" w:right="-710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-180975</wp:posOffset>
            </wp:positionV>
            <wp:extent cx="1123950" cy="1143000"/>
            <wp:effectExtent l="0" t="0" r="0" b="0"/>
            <wp:wrapSquare wrapText="bothSides"/>
            <wp:docPr id="6" name="Resi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C635F1" w:rsidRPr="00C635F1" w:rsidRDefault="00C635F1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>AFYON KOCATEPE ÜNİVERSİTESİ</w:t>
      </w:r>
    </w:p>
    <w:p w:rsidR="00AC1D37" w:rsidRDefault="00881620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 w:rsidR="000A2AB4" w:rsidRPr="00C635F1">
        <w:rPr>
          <w:b/>
          <w:sz w:val="36"/>
          <w:szCs w:val="36"/>
        </w:rPr>
        <w:t xml:space="preserve"> ERASMUS</w:t>
      </w:r>
      <w:r w:rsidR="0053288B">
        <w:rPr>
          <w:b/>
          <w:sz w:val="36"/>
          <w:szCs w:val="36"/>
        </w:rPr>
        <w:t>+</w:t>
      </w:r>
      <w:r w:rsidR="000A2AB4" w:rsidRPr="00C635F1">
        <w:rPr>
          <w:b/>
          <w:sz w:val="36"/>
          <w:szCs w:val="36"/>
        </w:rPr>
        <w:t xml:space="preserve"> ÖĞRENCİ STAJ HAREKETLİLİĞİ</w:t>
      </w:r>
    </w:p>
    <w:p w:rsidR="000A2AB4" w:rsidRPr="00B93CFC" w:rsidRDefault="00AC1D37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(Ek Kontenjan)</w:t>
      </w:r>
      <w:r w:rsidR="000A2AB4" w:rsidRPr="00C635F1">
        <w:rPr>
          <w:b/>
          <w:sz w:val="36"/>
          <w:szCs w:val="36"/>
        </w:rPr>
        <w:t xml:space="preserve"> BAŞVURU VE SINAV TAKVİMİ </w:t>
      </w:r>
    </w:p>
    <w:p w:rsidR="00CA410E" w:rsidRPr="00C95217" w:rsidRDefault="00E22221" w:rsidP="00C95217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</w:rPr>
      </w:pPr>
      <w:r w:rsidRPr="0053288B">
        <w:rPr>
          <w:b/>
          <w:color w:val="FF0000"/>
          <w:sz w:val="32"/>
          <w:szCs w:val="32"/>
          <w:u w:val="single"/>
        </w:rPr>
        <w:t xml:space="preserve">Öğrenci </w:t>
      </w:r>
      <w:r>
        <w:rPr>
          <w:b/>
          <w:color w:val="FF0000"/>
          <w:sz w:val="32"/>
          <w:szCs w:val="32"/>
          <w:u w:val="single"/>
        </w:rPr>
        <w:t>Staj</w:t>
      </w:r>
      <w:r w:rsidRPr="0053288B">
        <w:rPr>
          <w:b/>
          <w:color w:val="FF0000"/>
          <w:sz w:val="32"/>
          <w:szCs w:val="32"/>
          <w:u w:val="single"/>
        </w:rPr>
        <w:t xml:space="preserve"> Hareketliliği:</w:t>
      </w:r>
    </w:p>
    <w:p w:rsidR="00CA410E" w:rsidRDefault="00CA410E" w:rsidP="00CA410E">
      <w:pPr>
        <w:tabs>
          <w:tab w:val="left" w:pos="5370"/>
        </w:tabs>
        <w:spacing w:line="360" w:lineRule="auto"/>
        <w:ind w:left="-142" w:right="-710"/>
      </w:pPr>
      <w:r>
        <w:t xml:space="preserve">1. </w:t>
      </w:r>
      <w:r w:rsidRPr="0053288B">
        <w:t>Üniversitemizin kayıtlı öğrencisi olmak.</w:t>
      </w:r>
      <w:r>
        <w:t xml:space="preserve"> Tam zamanlı öğrenci olma şartı aranmaz.</w:t>
      </w:r>
    </w:p>
    <w:p w:rsidR="00CA410E" w:rsidRDefault="00CA410E" w:rsidP="00CA410E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(</w:t>
      </w:r>
      <w:r w:rsidRPr="0053288B">
        <w:t xml:space="preserve">Tam zamanlı öğrenci, henüz diploma/derecesinin gerektirdiği çalışmalarını tamamlamamış ve bir yarıyılda </w:t>
      </w:r>
      <w:r w:rsidRPr="0053288B">
        <w:rPr>
          <w:u w:val="single"/>
        </w:rPr>
        <w:t>30 AKTS kredisi karşılığı ders yükü</w:t>
      </w:r>
      <w:r>
        <w:t xml:space="preserve"> olduğu öngörülen öğrencidir).</w:t>
      </w:r>
    </w:p>
    <w:p w:rsidR="006A3860" w:rsidRDefault="00CA410E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2. </w:t>
      </w:r>
      <w:r w:rsidRPr="0053288B">
        <w:t xml:space="preserve">Hazırlık öğrencileri ve uzaktan eğitim programlarında öğrenim gören öğrenciler </w:t>
      </w:r>
      <w:r w:rsidRPr="0053288B">
        <w:rPr>
          <w:u w:val="single"/>
        </w:rPr>
        <w:t>dışında</w:t>
      </w:r>
      <w:r w:rsidRPr="0053288B">
        <w:t>, üniversitemize kayıtlı tüm öğrenciler başvuru yapabilir.</w:t>
      </w:r>
      <w:r w:rsidR="00006C61">
        <w:t xml:space="preserve"> </w:t>
      </w:r>
      <w:r w:rsidR="00847E53">
        <w:t>Son sınıf ö</w:t>
      </w:r>
      <w:r w:rsidR="004901EB">
        <w:t>ğrencileri de başvuru yap</w:t>
      </w:r>
      <w:r w:rsidR="000675D7">
        <w:t>abilir.</w:t>
      </w:r>
      <w:r w:rsidR="00073444">
        <w:t xml:space="preserve"> Son sınıftaki</w:t>
      </w:r>
      <w:r w:rsidR="0065734F">
        <w:t xml:space="preserve"> öğrenciler, </w:t>
      </w:r>
      <w:r w:rsidR="0065734F" w:rsidRPr="0065734F">
        <w:rPr>
          <w:b/>
        </w:rPr>
        <w:t>mezun olduktan sonraki 12 ay içerisinde</w:t>
      </w:r>
      <w:r w:rsidR="0065734F">
        <w:t xml:space="preserve"> staj faaliyeti gerçekleştirebilirler.</w:t>
      </w:r>
      <w:r w:rsidR="005915D5">
        <w:t xml:space="preserve"> Mezuniyet sonrası gerçekleştirilecek staj faaliyetinde </w:t>
      </w:r>
      <w:r w:rsidR="005915D5" w:rsidRPr="005915D5">
        <w:rPr>
          <w:u w:val="single"/>
        </w:rPr>
        <w:t>öğrenci başvurusunun öğrenci mezun olmadan önce yapılması gerekir.</w:t>
      </w:r>
      <w:r w:rsidR="0065734F">
        <w:t xml:space="preserve"> </w:t>
      </w:r>
      <w:r w:rsidR="00D360E7">
        <w:t>Ancak</w:t>
      </w:r>
      <w:r w:rsidR="00881620">
        <w:t>, 2016-2017 dönemi 31 Mayıs 2018</w:t>
      </w:r>
      <w:r w:rsidR="00D360E7">
        <w:t>’de biteceği için tüm staj faaliyetlerinin bu tarihe kadar tamamlanması gerekmektedir.</w:t>
      </w:r>
    </w:p>
    <w:p w:rsidR="00006C61" w:rsidRPr="00CA410E" w:rsidRDefault="00006C61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3. </w:t>
      </w:r>
      <w:r w:rsidRPr="0053288B">
        <w:t xml:space="preserve">Önlisans ve Lisans öğrencileri için 2,20; Yüksek Lisans ve Doktora öğrencileri için 2,50 veya üstü genel not ortalamasına sahip olmak </w:t>
      </w:r>
      <w:r w:rsidRPr="0053288B">
        <w:rPr>
          <w:b/>
        </w:rPr>
        <w:t>(“</w:t>
      </w:r>
      <w:r w:rsidR="00881620">
        <w:rPr>
          <w:b/>
          <w:u w:val="single"/>
        </w:rPr>
        <w:t>2016-2017</w:t>
      </w:r>
      <w:r w:rsidRPr="0053288B">
        <w:rPr>
          <w:b/>
          <w:u w:val="single"/>
        </w:rPr>
        <w:t xml:space="preserve"> AKADEMİK YILI </w:t>
      </w:r>
      <w:r w:rsidR="00106E98">
        <w:rPr>
          <w:b/>
          <w:u w:val="single"/>
        </w:rPr>
        <w:t>GÜZ</w:t>
      </w:r>
      <w:r w:rsidRPr="0053288B">
        <w:rPr>
          <w:b/>
          <w:u w:val="single"/>
        </w:rPr>
        <w:t xml:space="preserve"> DÖNEMİ</w:t>
      </w:r>
      <w:r w:rsidRPr="0053288B">
        <w:rPr>
          <w:b/>
        </w:rPr>
        <w:t xml:space="preserve">” </w:t>
      </w:r>
      <w:r w:rsidR="005325A8" w:rsidRPr="0053288B">
        <w:rPr>
          <w:b/>
        </w:rPr>
        <w:t>DÂHİL</w:t>
      </w:r>
      <w:r w:rsidRPr="0053288B">
        <w:rPr>
          <w:b/>
        </w:rPr>
        <w:t xml:space="preserve"> ORTALAMALARI İLE BAŞVURU YAPILMASI GEREKMEKTEDİR).</w:t>
      </w:r>
    </w:p>
    <w:p w:rsidR="000A2AB4" w:rsidRPr="0053288B" w:rsidRDefault="00006C61" w:rsidP="004C0FA3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4. </w:t>
      </w:r>
      <w:r w:rsidRPr="00006C61">
        <w:t>G</w:t>
      </w:r>
      <w:r>
        <w:t>enel</w:t>
      </w:r>
      <w:r w:rsidR="000A2AB4" w:rsidRPr="0053288B">
        <w:t xml:space="preserve"> başarı notu hesaplanırken aşağıdaki değerlendirme kriterleri uygulanacaktır.</w:t>
      </w:r>
    </w:p>
    <w:p w:rsidR="000A2AB4" w:rsidRPr="005215B0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>- Ağırlıklı ders ortalaması % 50</w:t>
      </w:r>
    </w:p>
    <w:p w:rsidR="000A2AB4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 xml:space="preserve">- Yabancı dil bilgisi % </w:t>
      </w:r>
      <w:r w:rsidR="001D0DC3" w:rsidRPr="005215B0">
        <w:rPr>
          <w:b/>
        </w:rPr>
        <w:t>5</w:t>
      </w:r>
      <w:r w:rsidRPr="005215B0">
        <w:rPr>
          <w:b/>
        </w:rPr>
        <w:t>0</w:t>
      </w:r>
      <w:r w:rsidR="001D0DC3" w:rsidRPr="005215B0">
        <w:rPr>
          <w:b/>
        </w:rPr>
        <w:t xml:space="preserve"> (Yazılı Sınav %75 ve Sözlü Sınav %25)</w:t>
      </w:r>
    </w:p>
    <w:p w:rsidR="00063E69" w:rsidRPr="00063E69" w:rsidRDefault="00063E69" w:rsidP="00063E69">
      <w:pPr>
        <w:spacing w:line="360" w:lineRule="auto"/>
        <w:ind w:left="-142" w:right="-710"/>
      </w:pPr>
      <w:r>
        <w:t>Yabancı Dil Puanı olarak Üniversitemiz Yabancı Diller Yüksekokulu tarafından yapılan sınav sonuçları kullanılacaktır. (</w:t>
      </w:r>
      <w:r w:rsidRPr="00063E69">
        <w:rPr>
          <w:b/>
          <w:i/>
        </w:rPr>
        <w:t>4-11 Mart 2017 tarihlerinde yapılan</w:t>
      </w:r>
      <w:r>
        <w:t>)</w:t>
      </w:r>
    </w:p>
    <w:p w:rsidR="005215B0" w:rsidRPr="005215B0" w:rsidRDefault="005215B0" w:rsidP="005215B0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</w:rPr>
      </w:pPr>
      <w:r w:rsidRPr="00ED7974">
        <w:rPr>
          <w:b/>
        </w:rPr>
        <w:t>- Daha önce yararlanma: -10 puan (Toplam 100 puan üzerinden)</w:t>
      </w:r>
    </w:p>
    <w:p w:rsidR="005325A8" w:rsidRDefault="005325A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  <w:u w:val="single"/>
        </w:rPr>
      </w:pPr>
      <w:r>
        <w:t xml:space="preserve">5. Başvuru esnasında getirilmesi gereken evraklar: </w:t>
      </w:r>
      <w:r>
        <w:rPr>
          <w:b/>
          <w:u w:val="single"/>
        </w:rPr>
        <w:t>Staj yapacakları kurumdan alınacak daveti</w:t>
      </w:r>
      <w:r w:rsidR="00A06AE2">
        <w:rPr>
          <w:b/>
          <w:u w:val="single"/>
        </w:rPr>
        <w:t>ye</w:t>
      </w:r>
      <w:r w:rsidR="000D29C3">
        <w:rPr>
          <w:b/>
          <w:u w:val="single"/>
        </w:rPr>
        <w:t>/kabul</w:t>
      </w:r>
      <w:r w:rsidR="00A06AE2">
        <w:rPr>
          <w:b/>
          <w:u w:val="single"/>
        </w:rPr>
        <w:t xml:space="preserve"> yazısı</w:t>
      </w:r>
      <w:r w:rsidR="003664C1">
        <w:rPr>
          <w:b/>
          <w:u w:val="single"/>
        </w:rPr>
        <w:t>)</w:t>
      </w:r>
    </w:p>
    <w:p w:rsidR="00A13EE4" w:rsidRPr="00006C61" w:rsidRDefault="00480002" w:rsidP="004C0FA3">
      <w:pPr>
        <w:autoSpaceDE w:val="0"/>
        <w:autoSpaceDN w:val="0"/>
        <w:adjustRightInd w:val="0"/>
        <w:spacing w:line="360" w:lineRule="auto"/>
        <w:ind w:left="-142" w:right="-710"/>
      </w:pPr>
      <w:r>
        <w:t xml:space="preserve">Staj faaliyeti, öğrencinin </w:t>
      </w:r>
      <w:r w:rsidRPr="0065734F">
        <w:rPr>
          <w:u w:val="single"/>
        </w:rPr>
        <w:t>öğrencisi olduğu mesleki eğitim alanında uygulamalı iş deneyimi elde etmesidir</w:t>
      </w:r>
      <w:r>
        <w:t>.</w:t>
      </w:r>
      <w:r w:rsidR="00660CD9">
        <w:t xml:space="preserve"> Bu sebep</w:t>
      </w:r>
      <w:r w:rsidR="006E6EA4">
        <w:t>le staj yapılacak sektör, öğrencinin mevcut mesleki eğitim programı ile ilgili bir sektör olmalıdır.</w:t>
      </w:r>
    </w:p>
    <w:p w:rsidR="000129E2" w:rsidRDefault="000129E2" w:rsidP="000129E2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</w:rPr>
        <w:t>6. Tüm öğrenciler aynı tür değerlendirmeye tabi olacaklardır.</w:t>
      </w:r>
    </w:p>
    <w:p w:rsidR="000129E2" w:rsidRDefault="000129E2" w:rsidP="000129E2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Pr="00B27EFC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</w:rPr>
        <w:t xml:space="preserve">İsteyen öğrenciler asil seçildikleri takdirde </w:t>
      </w:r>
      <w:r w:rsidRPr="002B7106">
        <w:rPr>
          <w:rFonts w:ascii="TimesNewRomanPSMT" w:hAnsi="TimesNewRomanPSMT" w:cs="TimesNewRomanPSMT"/>
          <w:u w:val="single"/>
        </w:rPr>
        <w:t>hibe almadan</w:t>
      </w:r>
      <w:r>
        <w:rPr>
          <w:rFonts w:ascii="TimesNewRomanPSMT" w:hAnsi="TimesNewRomanPSMT" w:cs="TimesNewRomanPSMT"/>
        </w:rPr>
        <w:t xml:space="preserve"> da faaliyetten yararlanabilir.</w:t>
      </w:r>
    </w:p>
    <w:p w:rsidR="006F4035" w:rsidRDefault="004E4622" w:rsidP="00F061CA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u w:val="single"/>
        </w:rPr>
      </w:pPr>
      <w:r>
        <w:t>8</w:t>
      </w:r>
      <w:r w:rsidR="004C408A">
        <w:t xml:space="preserve">. </w:t>
      </w:r>
      <w:r w:rsidR="006F4035" w:rsidRPr="00C95217">
        <w:t xml:space="preserve">Başvuru yapan öğrenciler </w:t>
      </w:r>
      <w:r w:rsidR="006F4035" w:rsidRPr="00C95217">
        <w:rPr>
          <w:b/>
          <w:u w:val="single"/>
        </w:rPr>
        <w:t>başvuru çıktılarını</w:t>
      </w:r>
      <w:r w:rsidR="00C102C4">
        <w:t>,</w:t>
      </w:r>
      <w:r w:rsidR="006F4035" w:rsidRPr="00C95217">
        <w:t xml:space="preserve"> </w:t>
      </w:r>
      <w:r w:rsidR="006F4035" w:rsidRPr="00C95217">
        <w:rPr>
          <w:b/>
          <w:u w:val="single"/>
        </w:rPr>
        <w:t>transkript</w:t>
      </w:r>
      <w:r w:rsidR="002A7096">
        <w:t>,</w:t>
      </w:r>
      <w:r w:rsidR="006F4035" w:rsidRPr="00C95217">
        <w:t xml:space="preserve"> </w:t>
      </w:r>
      <w:r w:rsidR="006F4035" w:rsidRPr="00C95217">
        <w:rPr>
          <w:b/>
          <w:u w:val="single"/>
        </w:rPr>
        <w:t>öğrenci belgeleri</w:t>
      </w:r>
      <w:r w:rsidR="004C408A">
        <w:rPr>
          <w:b/>
          <w:u w:val="single"/>
        </w:rPr>
        <w:t xml:space="preserve"> ve</w:t>
      </w:r>
      <w:r w:rsidR="002A7096">
        <w:rPr>
          <w:b/>
          <w:u w:val="single"/>
        </w:rPr>
        <w:t xml:space="preserve"> staj yapacakları kurumdan alınacak daveti</w:t>
      </w:r>
      <w:r w:rsidR="00CD45A1">
        <w:rPr>
          <w:b/>
          <w:u w:val="single"/>
        </w:rPr>
        <w:t>ye yazısı</w:t>
      </w:r>
      <w:r w:rsidR="006F4035" w:rsidRPr="00C95217">
        <w:t xml:space="preserve"> ile birli</w:t>
      </w:r>
      <w:r w:rsidR="006F4035">
        <w:t xml:space="preserve">kte Ulus. İliş. Uyg. Arş. Merkezine </w:t>
      </w:r>
      <w:r w:rsidR="006F4035" w:rsidRPr="00C95217">
        <w:t>teslim edeceklerdir.</w:t>
      </w:r>
      <w:r w:rsidR="006F4035">
        <w:t xml:space="preserve"> </w:t>
      </w:r>
      <w:r w:rsidR="006F4035" w:rsidRPr="00C95217">
        <w:t>Başvuru formuna fotoğraf yapıştırılması zorunludur.</w:t>
      </w:r>
      <w:r w:rsidR="00855311">
        <w:t xml:space="preserve"> Başvuru formunu doğru bir şekilde doldurunuz. </w:t>
      </w:r>
      <w:r w:rsidR="00855311" w:rsidRPr="00855311">
        <w:rPr>
          <w:u w:val="single"/>
        </w:rPr>
        <w:t>Formun çıktısını aldıktan sonra üzerinde herhangi bir değişiklik yapılmayacaktır.</w:t>
      </w:r>
    </w:p>
    <w:p w:rsidR="00415C51" w:rsidRDefault="004E4622" w:rsidP="00F061CA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lastRenderedPageBreak/>
        <w:t>9</w:t>
      </w:r>
      <w:r w:rsidR="00415C51">
        <w:t>. Aynı öğrenci, her bir eğitim-öğretim kademesinde öğrenim ve staj hareketliliğinden to</w:t>
      </w:r>
      <w:r w:rsidR="00C558A5">
        <w:t>plam 12 aya kadar hibe alabilir ve hibe almasa bile faaliyetlerden toplam 12 ay yararlanabilir.</w:t>
      </w:r>
    </w:p>
    <w:p w:rsidR="002D30AB" w:rsidRDefault="004E4622" w:rsidP="00F061CA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10</w:t>
      </w:r>
      <w:r w:rsidR="002D30AB">
        <w:t xml:space="preserve">. Staj hareketliliği süresi, en az </w:t>
      </w:r>
      <w:r w:rsidR="002D30AB">
        <w:rPr>
          <w:b/>
        </w:rPr>
        <w:t>2</w:t>
      </w:r>
      <w:r w:rsidR="002D30AB" w:rsidRPr="00415C51">
        <w:rPr>
          <w:b/>
        </w:rPr>
        <w:t xml:space="preserve"> aydır</w:t>
      </w:r>
      <w:r w:rsidR="002D30AB">
        <w:t>. Bu süre, mücbir sebepler dışında azaltılamaz. Hareketliliğin 2 aydan az olması durumunda, bu hareketlilik için hibe ödemesi yapılmaz.</w:t>
      </w:r>
    </w:p>
    <w:p w:rsidR="00B025AD" w:rsidRDefault="004E4622" w:rsidP="00B025AD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11</w:t>
      </w:r>
      <w:r w:rsidR="00CD610C">
        <w:t xml:space="preserve">. Daha önce aynı öğrenim seviyesinde (lisans, yüksek lisans veya doktora) Erasmus hareketliliğinden yararlanan öğrencilerden faaliyet başına (öğrenim/staj) toplam Erasmus puanından </w:t>
      </w:r>
      <w:r w:rsidR="00CD610C" w:rsidRPr="00CD610C">
        <w:rPr>
          <w:b/>
        </w:rPr>
        <w:t>10 puan</w:t>
      </w:r>
      <w:r w:rsidR="00CD610C">
        <w:t xml:space="preserve"> düşülecektir. Örneğin lisans düzeyinde, Erasmus öğrenim ve staj hareketliliğinde bulunan bir öğrenci hala lisans düzeyinde başvuruyor ise toplam Erasmus puanından </w:t>
      </w:r>
      <w:r w:rsidR="00CD610C" w:rsidRPr="003C4A86">
        <w:t>20 puan</w:t>
      </w:r>
      <w:r w:rsidR="00CD610C">
        <w:t xml:space="preserve"> düşülecektir. Ancak aynı öğrenci, yüksek lisans düzeyinde ise herhangi bir puan kesintisi olmayacaktır. </w:t>
      </w:r>
    </w:p>
    <w:p w:rsidR="00363699" w:rsidRDefault="00363699" w:rsidP="00363699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</w:rPr>
      </w:pPr>
      <w:r>
        <w:rPr>
          <w:b/>
        </w:rPr>
        <w:t>Staja başvuru için Uluslararası İlişkiler Merkezi’ne aşağıdaki evrakların teslim edilmesi gerekmektedir:</w:t>
      </w:r>
    </w:p>
    <w:p w:rsidR="00363699" w:rsidRDefault="00363699" w:rsidP="003636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Başvuru Formunun çıktısı (imzalı ve fotoğraflı)</w:t>
      </w:r>
    </w:p>
    <w:p w:rsidR="00363699" w:rsidRDefault="00363699" w:rsidP="003636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Güncel Öğrenci Belgesi</w:t>
      </w:r>
      <w:r w:rsidR="00EA164B">
        <w:rPr>
          <w:b/>
        </w:rPr>
        <w:t xml:space="preserve"> (imzalı ve mühürlü)</w:t>
      </w:r>
    </w:p>
    <w:p w:rsidR="00363699" w:rsidRDefault="00363699" w:rsidP="003636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Güncel Transkript</w:t>
      </w:r>
      <w:r w:rsidR="00EA164B">
        <w:rPr>
          <w:b/>
        </w:rPr>
        <w:t xml:space="preserve"> (imzalı ve mühürlü)</w:t>
      </w:r>
    </w:p>
    <w:p w:rsidR="00B025AD" w:rsidRPr="00ED405B" w:rsidRDefault="00363699" w:rsidP="00ED40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Davetiye/Kabul Yazısı (Acceptance Letter) (karşı kurumdan alınacak)</w:t>
      </w:r>
    </w:p>
    <w:p w:rsidR="000A2AB4" w:rsidRPr="00B27EFC" w:rsidRDefault="008C40D4" w:rsidP="00B27EFC">
      <w:pPr>
        <w:spacing w:line="360" w:lineRule="auto"/>
        <w:ind w:left="-142" w:right="-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06E98">
        <w:rPr>
          <w:b/>
          <w:sz w:val="32"/>
          <w:szCs w:val="32"/>
        </w:rPr>
        <w:t>6-2017</w:t>
      </w:r>
      <w:r w:rsidR="00B74258" w:rsidRPr="00B74258">
        <w:rPr>
          <w:b/>
          <w:sz w:val="32"/>
          <w:szCs w:val="32"/>
        </w:rPr>
        <w:t xml:space="preserve"> AKADEMİK YILI ERASMUS</w:t>
      </w:r>
      <w:r w:rsidR="00ED405B">
        <w:rPr>
          <w:b/>
          <w:sz w:val="32"/>
          <w:szCs w:val="32"/>
        </w:rPr>
        <w:t>+ STAJ</w:t>
      </w:r>
      <w:r w:rsidR="00B74258" w:rsidRPr="00B74258">
        <w:rPr>
          <w:b/>
          <w:sz w:val="32"/>
          <w:szCs w:val="32"/>
        </w:rPr>
        <w:t xml:space="preserve"> TAKVİMİ</w:t>
      </w:r>
    </w:p>
    <w:tbl>
      <w:tblPr>
        <w:tblW w:w="1085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054"/>
        <w:gridCol w:w="7796"/>
      </w:tblGrid>
      <w:tr w:rsidR="006C5FA6" w:rsidRPr="006C5FA6" w:rsidTr="002C350D">
        <w:trPr>
          <w:trHeight w:val="472"/>
        </w:trPr>
        <w:tc>
          <w:tcPr>
            <w:tcW w:w="305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5D7" w:rsidRPr="003E3231" w:rsidRDefault="000675D7" w:rsidP="000675D7">
            <w:pPr>
              <w:ind w:left="-142" w:right="-710"/>
              <w:rPr>
                <w:b/>
                <w:caps/>
              </w:rPr>
            </w:pPr>
            <w:r>
              <w:rPr>
                <w:b/>
                <w:caps/>
              </w:rPr>
              <w:t xml:space="preserve">  Tarih</w:t>
            </w:r>
          </w:p>
        </w:tc>
        <w:tc>
          <w:tcPr>
            <w:tcW w:w="77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5FA6" w:rsidRPr="003E3231" w:rsidRDefault="006C5FA6" w:rsidP="004C0FA3">
            <w:pPr>
              <w:ind w:left="-142" w:right="-710"/>
              <w:jc w:val="center"/>
              <w:rPr>
                <w:b/>
                <w:caps/>
              </w:rPr>
            </w:pPr>
            <w:r w:rsidRPr="003E3231">
              <w:rPr>
                <w:b/>
                <w:caps/>
              </w:rPr>
              <w:t>İÇERİK</w:t>
            </w:r>
          </w:p>
        </w:tc>
      </w:tr>
      <w:tr w:rsidR="00036AA8" w:rsidRPr="006C5FA6" w:rsidTr="002C350D">
        <w:trPr>
          <w:trHeight w:val="472"/>
        </w:trPr>
        <w:tc>
          <w:tcPr>
            <w:tcW w:w="30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6AA8" w:rsidRDefault="00147AA9" w:rsidP="00202261">
            <w:pPr>
              <w:ind w:left="-142" w:right="-710"/>
              <w:rPr>
                <w:b/>
              </w:rPr>
            </w:pPr>
            <w:r>
              <w:rPr>
                <w:b/>
              </w:rPr>
              <w:t xml:space="preserve">   </w:t>
            </w:r>
            <w:r w:rsidR="00106E98">
              <w:rPr>
                <w:b/>
              </w:rPr>
              <w:t>20 Mart 2017</w:t>
            </w:r>
            <w:r w:rsidR="00036AA8"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6AA8" w:rsidRPr="00036AA8" w:rsidRDefault="00036AA8" w:rsidP="008C40D4">
            <w:pPr>
              <w:spacing w:line="360" w:lineRule="auto"/>
              <w:ind w:left="-142" w:right="-710"/>
            </w:pPr>
            <w:r>
              <w:rPr>
                <w:sz w:val="16"/>
                <w:szCs w:val="16"/>
              </w:rPr>
              <w:t xml:space="preserve">  </w:t>
            </w:r>
            <w:r>
              <w:t>İlan başlangıç tarihi</w:t>
            </w:r>
          </w:p>
        </w:tc>
      </w:tr>
      <w:tr w:rsidR="006C5FA6" w:rsidRPr="006C5FA6" w:rsidTr="002C350D">
        <w:trPr>
          <w:trHeight w:val="472"/>
        </w:trPr>
        <w:tc>
          <w:tcPr>
            <w:tcW w:w="30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6E98" w:rsidRDefault="00B27EFC" w:rsidP="00B27EFC">
            <w:pPr>
              <w:ind w:left="-142" w:right="-710"/>
              <w:rPr>
                <w:b/>
              </w:rPr>
            </w:pPr>
            <w:r>
              <w:rPr>
                <w:b/>
              </w:rPr>
              <w:t xml:space="preserve">   </w:t>
            </w:r>
            <w:r w:rsidR="00106E98">
              <w:rPr>
                <w:b/>
              </w:rPr>
              <w:t>10 Nisan-2</w:t>
            </w:r>
            <w:r w:rsidR="00C94B45">
              <w:rPr>
                <w:b/>
              </w:rPr>
              <w:t>4</w:t>
            </w:r>
            <w:r w:rsidR="00106E98">
              <w:rPr>
                <w:b/>
              </w:rPr>
              <w:t xml:space="preserve"> Nisan 2017</w:t>
            </w:r>
          </w:p>
          <w:p w:rsidR="006C5FA6" w:rsidRPr="003E3231" w:rsidRDefault="006C5FA6" w:rsidP="00B27EFC">
            <w:pPr>
              <w:ind w:left="-142" w:right="-710"/>
              <w:rPr>
                <w:b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47C4F" w:rsidRPr="008C40D4" w:rsidRDefault="008C40D4" w:rsidP="00147C4F">
            <w:pPr>
              <w:ind w:left="-142" w:right="-710"/>
            </w:pPr>
            <w:r>
              <w:rPr>
                <w:sz w:val="16"/>
                <w:szCs w:val="16"/>
              </w:rPr>
              <w:t xml:space="preserve"> </w:t>
            </w:r>
            <w:r w:rsidR="00147C4F">
              <w:t>Başvurular</w:t>
            </w:r>
          </w:p>
          <w:p w:rsidR="000527B3" w:rsidRPr="008C40D4" w:rsidRDefault="000527B3" w:rsidP="000527B3">
            <w:pPr>
              <w:ind w:left="-142" w:right="-710"/>
            </w:pPr>
          </w:p>
        </w:tc>
      </w:tr>
      <w:tr w:rsidR="006C5FA6" w:rsidRPr="006C5FA6" w:rsidTr="002C350D">
        <w:trPr>
          <w:trHeight w:val="516"/>
        </w:trPr>
        <w:tc>
          <w:tcPr>
            <w:tcW w:w="30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5FA6" w:rsidRPr="003E3231" w:rsidRDefault="00B27EFC" w:rsidP="00B27EFC">
            <w:pPr>
              <w:ind w:left="-142" w:right="-710"/>
              <w:rPr>
                <w:b/>
              </w:rPr>
            </w:pPr>
            <w:r>
              <w:rPr>
                <w:b/>
              </w:rPr>
              <w:t xml:space="preserve">   </w:t>
            </w:r>
            <w:r w:rsidR="0097204C">
              <w:rPr>
                <w:b/>
              </w:rPr>
              <w:t>28 Nisan</w:t>
            </w:r>
            <w:r w:rsidR="00C94B45">
              <w:rPr>
                <w:b/>
              </w:rPr>
              <w:t xml:space="preserve"> 2017 </w:t>
            </w:r>
          </w:p>
          <w:p w:rsidR="007C1500" w:rsidRPr="003E3231" w:rsidRDefault="00B27EFC" w:rsidP="00C94B45">
            <w:pPr>
              <w:ind w:left="-142" w:right="-710"/>
              <w:rPr>
                <w:b/>
              </w:rPr>
            </w:pPr>
            <w:r>
              <w:rPr>
                <w:b/>
              </w:rPr>
              <w:t xml:space="preserve">   </w:t>
            </w:r>
            <w:r w:rsidR="00C94B45">
              <w:rPr>
                <w:b/>
              </w:rPr>
              <w:t>Cuma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350D" w:rsidRDefault="0097204C" w:rsidP="004C0FA3">
            <w:pPr>
              <w:ind w:left="-142" w:right="-710"/>
            </w:pPr>
            <w:r>
              <w:t xml:space="preserve"> Sonuçların</w:t>
            </w:r>
            <w:r w:rsidR="006C5FA6">
              <w:t xml:space="preserve"> </w:t>
            </w:r>
            <w:r w:rsidR="006C5FA6" w:rsidRPr="006C5FA6">
              <w:t xml:space="preserve">internetten duyurulması </w:t>
            </w:r>
            <w:r w:rsidR="006C5FA6" w:rsidRPr="003E3231">
              <w:rPr>
                <w:b/>
              </w:rPr>
              <w:t>(</w:t>
            </w:r>
            <w:r w:rsidR="002C350D">
              <w:t>Ulus. İliş. Uyg. Arş. Mer.</w:t>
            </w:r>
            <w:r w:rsidR="00BC2DC6" w:rsidRPr="006C5FA6">
              <w:t xml:space="preserve"> </w:t>
            </w:r>
            <w:r w:rsidR="003A437C">
              <w:t>w</w:t>
            </w:r>
            <w:r w:rsidR="002C350D">
              <w:t>eb</w:t>
            </w:r>
          </w:p>
          <w:p w:rsidR="006C5FA6" w:rsidRPr="006C5FA6" w:rsidRDefault="002C350D" w:rsidP="004C0FA3">
            <w:pPr>
              <w:ind w:left="-142" w:right="-710"/>
            </w:pPr>
            <w:r>
              <w:t xml:space="preserve"> adresi</w:t>
            </w:r>
            <w:r w:rsidR="00C5711E">
              <w:t>nden açıklanacaktır</w:t>
            </w:r>
            <w:r w:rsidR="00BC2DC6">
              <w:t>)</w:t>
            </w:r>
          </w:p>
        </w:tc>
      </w:tr>
      <w:tr w:rsidR="00CE75A0" w:rsidRPr="006C5FA6" w:rsidTr="002C350D">
        <w:trPr>
          <w:trHeight w:val="516"/>
        </w:trPr>
        <w:tc>
          <w:tcPr>
            <w:tcW w:w="30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75A0" w:rsidRDefault="00CE75A0" w:rsidP="008B7DDB">
            <w:pPr>
              <w:ind w:right="-710"/>
              <w:rPr>
                <w:b/>
              </w:rPr>
            </w:pPr>
            <w:r>
              <w:rPr>
                <w:b/>
              </w:rPr>
              <w:t>04 Mayıs 2017</w:t>
            </w:r>
          </w:p>
          <w:p w:rsidR="00CE75A0" w:rsidRDefault="00CE75A0" w:rsidP="008B7DDB">
            <w:pPr>
              <w:ind w:right="-71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75A0" w:rsidRDefault="00CE75A0" w:rsidP="008B7DDB">
            <w:pPr>
              <w:ind w:right="-710"/>
              <w:rPr>
                <w:b/>
              </w:rPr>
            </w:pPr>
            <w:r>
              <w:t xml:space="preserve">Seçim sonuçlarına itirazı olan öğrencilerin itiraz dilekçelerini </w:t>
            </w:r>
            <w:r>
              <w:rPr>
                <w:b/>
              </w:rPr>
              <w:t>04 Mayıs 2017</w:t>
            </w:r>
          </w:p>
          <w:p w:rsidR="00CE75A0" w:rsidRDefault="00CE75A0" w:rsidP="008B7DDB">
            <w:pPr>
              <w:ind w:right="-710"/>
            </w:pPr>
            <w:r>
              <w:t xml:space="preserve"> tarihine kadar Ulus. İliş. Uyg. Arş. Merkezine vermeleri gerekmektedir.</w:t>
            </w:r>
          </w:p>
        </w:tc>
      </w:tr>
      <w:tr w:rsidR="00CE75A0" w:rsidRPr="006C5FA6" w:rsidTr="002C350D">
        <w:trPr>
          <w:trHeight w:val="516"/>
        </w:trPr>
        <w:tc>
          <w:tcPr>
            <w:tcW w:w="30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75A0" w:rsidRDefault="00CE75A0" w:rsidP="00CE75A0">
            <w:pPr>
              <w:ind w:left="-142" w:right="-710"/>
              <w:rPr>
                <w:b/>
              </w:rPr>
            </w:pPr>
            <w:r>
              <w:rPr>
                <w:b/>
              </w:rPr>
              <w:t xml:space="preserve">   05 Mayıs 2017 </w:t>
            </w:r>
          </w:p>
          <w:p w:rsidR="00CE75A0" w:rsidRDefault="00CE75A0" w:rsidP="00CE75A0">
            <w:pPr>
              <w:ind w:left="-142" w:right="-710"/>
              <w:rPr>
                <w:b/>
              </w:rPr>
            </w:pPr>
            <w:r>
              <w:rPr>
                <w:b/>
              </w:rPr>
              <w:t xml:space="preserve">  Cuma</w:t>
            </w:r>
          </w:p>
          <w:p w:rsidR="00CE75A0" w:rsidRPr="003E3231" w:rsidRDefault="00CE75A0" w:rsidP="00CE75A0">
            <w:pPr>
              <w:ind w:left="-142" w:right="-710"/>
              <w:rPr>
                <w:b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75A0" w:rsidRDefault="00CE75A0" w:rsidP="004C0FA3">
            <w:pPr>
              <w:ind w:left="-142" w:right="-710"/>
            </w:pPr>
            <w:r>
              <w:t xml:space="preserve"> Oryantasyon</w:t>
            </w:r>
          </w:p>
          <w:p w:rsidR="00CE75A0" w:rsidRDefault="00CE75A0" w:rsidP="004C0FA3">
            <w:pPr>
              <w:ind w:left="-142" w:right="-710"/>
            </w:pPr>
            <w:r>
              <w:t xml:space="preserve"> (Oryantasyon</w:t>
            </w:r>
            <w:r w:rsidRPr="006C5FA6">
              <w:t xml:space="preserve"> yeri ve saati </w:t>
            </w:r>
            <w:r>
              <w:t xml:space="preserve">Ulus. İliş. Uyg. Arş. Mer. </w:t>
            </w:r>
            <w:r w:rsidRPr="006C5FA6">
              <w:t xml:space="preserve"> </w:t>
            </w:r>
            <w:r>
              <w:t>web adresi</w:t>
            </w:r>
            <w:r w:rsidRPr="006C5FA6">
              <w:t>)</w:t>
            </w:r>
          </w:p>
        </w:tc>
      </w:tr>
      <w:tr w:rsidR="00CE75A0" w:rsidRPr="006C5FA6" w:rsidTr="002C350D">
        <w:trPr>
          <w:trHeight w:val="516"/>
        </w:trPr>
        <w:tc>
          <w:tcPr>
            <w:tcW w:w="30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75A0" w:rsidRDefault="00CE75A0" w:rsidP="005A46A2">
            <w:pPr>
              <w:ind w:right="-710"/>
              <w:rPr>
                <w:b/>
              </w:rPr>
            </w:pPr>
            <w:r>
              <w:rPr>
                <w:b/>
              </w:rPr>
              <w:t>18 Mayıs 2017</w:t>
            </w:r>
          </w:p>
          <w:p w:rsidR="00CE75A0" w:rsidRDefault="00CE75A0" w:rsidP="005A46A2">
            <w:pPr>
              <w:ind w:right="-710"/>
              <w:rPr>
                <w:b/>
              </w:rPr>
            </w:pPr>
            <w:r>
              <w:rPr>
                <w:b/>
              </w:rPr>
              <w:t xml:space="preserve"> Perşembe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75A0" w:rsidRPr="00BF58EF" w:rsidRDefault="00CE75A0" w:rsidP="00CE75A0">
            <w:pPr>
              <w:ind w:right="-710"/>
              <w:rPr>
                <w:b/>
              </w:rPr>
            </w:pPr>
            <w:r>
              <w:t xml:space="preserve">Vazgeçen öğrencilerin </w:t>
            </w:r>
            <w:r>
              <w:rPr>
                <w:b/>
              </w:rPr>
              <w:t xml:space="preserve">18 Mayıs 2017 </w:t>
            </w:r>
            <w:r>
              <w:t>tarihine kadar Ulus. İliş. Merkezi’ne</w:t>
            </w:r>
          </w:p>
          <w:p w:rsidR="00CE75A0" w:rsidRDefault="00CE75A0" w:rsidP="00CE75A0">
            <w:pPr>
              <w:ind w:right="-710"/>
            </w:pPr>
            <w:r>
              <w:t>dilekçe vermeleri gerekmektedir.</w:t>
            </w:r>
          </w:p>
        </w:tc>
      </w:tr>
    </w:tbl>
    <w:p w:rsidR="006C5FA6" w:rsidRPr="006C5FA6" w:rsidRDefault="006C5FA6" w:rsidP="004C0FA3">
      <w:pPr>
        <w:ind w:left="-142" w:right="-710"/>
      </w:pPr>
    </w:p>
    <w:p w:rsidR="006C5FA6" w:rsidRDefault="006C5FA6" w:rsidP="004C0FA3">
      <w:pPr>
        <w:spacing w:line="360" w:lineRule="auto"/>
        <w:ind w:left="-142" w:right="-710"/>
      </w:pPr>
      <w:r w:rsidRPr="006C5FA6">
        <w:rPr>
          <w:b/>
        </w:rPr>
        <w:t>1.</w:t>
      </w:r>
      <w:r>
        <w:t xml:space="preserve"> Gerekli görülen hallerde tarihler Uluslararası İlişkiler Merkezi tarafından değiştirilebilir.</w:t>
      </w:r>
    </w:p>
    <w:p w:rsidR="006C5FA6" w:rsidRDefault="006C5FA6" w:rsidP="004C0FA3">
      <w:pPr>
        <w:spacing w:line="360" w:lineRule="auto"/>
        <w:ind w:left="-142" w:right="-710"/>
      </w:pPr>
      <w:r w:rsidRPr="006C5FA6">
        <w:rPr>
          <w:b/>
        </w:rPr>
        <w:t>2.</w:t>
      </w:r>
      <w:r>
        <w:t xml:space="preserve"> </w:t>
      </w:r>
      <w:r w:rsidR="00063E69">
        <w:t>Yabancı Dil Puanı olarak Üniversitemiz Yabancı Diller Yüksekokulu tarafından yapılan sınav sonuçları kullanılacaktır. (</w:t>
      </w:r>
      <w:r w:rsidR="00063E69" w:rsidRPr="00063E69">
        <w:rPr>
          <w:b/>
          <w:i/>
        </w:rPr>
        <w:t>4-11 Mart 2017 tarihlerinde yapılan</w:t>
      </w:r>
      <w:r w:rsidR="00063E69">
        <w:t>)</w:t>
      </w:r>
    </w:p>
    <w:p w:rsidR="00124C51" w:rsidRDefault="006C5FA6" w:rsidP="005E28FB">
      <w:pPr>
        <w:spacing w:line="360" w:lineRule="auto"/>
        <w:ind w:left="-142" w:right="-710"/>
      </w:pPr>
      <w:r w:rsidRPr="006C5FA6">
        <w:rPr>
          <w:b/>
        </w:rPr>
        <w:t>3.</w:t>
      </w:r>
      <w:r w:rsidR="00C95217">
        <w:t xml:space="preserve"> Söz konusu tarihler E</w:t>
      </w:r>
      <w:r>
        <w:t>rasmus</w:t>
      </w:r>
      <w:r w:rsidR="00C95217">
        <w:t>+</w:t>
      </w:r>
      <w:r>
        <w:t xml:space="preserve"> öğrenci sta</w:t>
      </w:r>
      <w:r w:rsidR="00847E53">
        <w:t>j hareketliliği için geçerlidir.</w:t>
      </w:r>
    </w:p>
    <w:p w:rsidR="001426A9" w:rsidRDefault="001426A9" w:rsidP="001426A9">
      <w:pPr>
        <w:spacing w:line="360" w:lineRule="auto"/>
        <w:ind w:left="-142" w:right="-710"/>
      </w:pPr>
      <w:r>
        <w:rPr>
          <w:b/>
        </w:rPr>
        <w:t>4.</w:t>
      </w:r>
      <w:r>
        <w:t xml:space="preserve"> Seçim sonuçlarına itirazı olan öğrencilerin itiraz dilekçelerini </w:t>
      </w:r>
      <w:r w:rsidR="00CE75A0">
        <w:rPr>
          <w:b/>
        </w:rPr>
        <w:t xml:space="preserve">04 Mayıs 2017 </w:t>
      </w:r>
      <w:r w:rsidR="005657E3">
        <w:t>tarihine kadar</w:t>
      </w:r>
      <w:r>
        <w:t xml:space="preserve"> Ulus. İliş. Uyg. Arş. Merkezine iletmeleri gerekmektedir. Bu tarihlerden sonra verilen itiraz dilekçeleri işleme alınmayacaktır.</w:t>
      </w:r>
    </w:p>
    <w:p w:rsidR="001426A9" w:rsidRDefault="001426A9" w:rsidP="001426A9">
      <w:pPr>
        <w:spacing w:line="360" w:lineRule="auto"/>
        <w:ind w:right="-710"/>
      </w:pPr>
    </w:p>
    <w:p w:rsidR="00B025AD" w:rsidRDefault="00B025AD" w:rsidP="00180C1A">
      <w:pPr>
        <w:autoSpaceDE w:val="0"/>
        <w:autoSpaceDN w:val="0"/>
        <w:adjustRightInd w:val="0"/>
        <w:spacing w:line="360" w:lineRule="auto"/>
        <w:ind w:left="-142" w:right="-710"/>
        <w:jc w:val="both"/>
      </w:pPr>
      <w:r w:rsidRPr="00E43B40">
        <w:rPr>
          <w:color w:val="FF0000"/>
        </w:rPr>
        <w:t>ÖNEMLİ NOT</w:t>
      </w:r>
      <w:r>
        <w:t xml:space="preserve">: Erasmus+ </w:t>
      </w:r>
      <w:r w:rsidR="00CA2A0E">
        <w:t>Staj faaliyetine</w:t>
      </w:r>
      <w:r>
        <w:t xml:space="preserve"> asıl veya yedek öğrencilerin se</w:t>
      </w:r>
      <w:r w:rsidR="00CA2A0E">
        <w:t>çilmesinden sonra faaliyetten</w:t>
      </w:r>
      <w:r>
        <w:t xml:space="preserve"> vazgeçen öğrenciler dilekçelerini </w:t>
      </w:r>
      <w:r w:rsidR="00CE75A0">
        <w:rPr>
          <w:b/>
        </w:rPr>
        <w:t xml:space="preserve">18 Mayıs 2017 </w:t>
      </w:r>
      <w:r>
        <w:t xml:space="preserve">tarihine kadar Ulus. İliş. Merkezi’ne teslim etmek </w:t>
      </w:r>
      <w:r>
        <w:lastRenderedPageBreak/>
        <w:t xml:space="preserve">zorundadır. Bu tarihe kadar vazgeçme dilekçesini vermeyen </w:t>
      </w:r>
      <w:r w:rsidR="00823F9D">
        <w:t>ve</w:t>
      </w:r>
      <w:r>
        <w:t xml:space="preserve"> </w:t>
      </w:r>
      <w:r w:rsidR="00823F9D">
        <w:t xml:space="preserve">mücbir bir sebebe dayanmaksızın faaliyetini gerçekleştirmemiş </w:t>
      </w:r>
      <w:r w:rsidR="00823F9D" w:rsidRPr="00FE2DD1">
        <w:rPr>
          <w:u w:val="single"/>
        </w:rPr>
        <w:t xml:space="preserve">öğrenciler için </w:t>
      </w:r>
      <w:r w:rsidRPr="00FE2DD1">
        <w:rPr>
          <w:u w:val="single"/>
        </w:rPr>
        <w:t xml:space="preserve">öğrencinin sonraki başvurularında toplam puanından -10 puan azaltma uygulanır. </w:t>
      </w:r>
    </w:p>
    <w:p w:rsidR="00847E53" w:rsidRDefault="00847E53" w:rsidP="00847E53">
      <w:pPr>
        <w:spacing w:line="360" w:lineRule="auto"/>
        <w:ind w:left="-142" w:right="-710"/>
        <w:jc w:val="center"/>
        <w:rPr>
          <w:b/>
        </w:rPr>
      </w:pPr>
      <w:r>
        <w:rPr>
          <w:b/>
        </w:rPr>
        <w:t>Hibe Miktarları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4"/>
        <w:gridCol w:w="5225"/>
        <w:gridCol w:w="1703"/>
      </w:tblGrid>
      <w:tr w:rsidR="00180C1A" w:rsidRPr="00346951" w:rsidTr="004C7A9A">
        <w:trPr>
          <w:trHeight w:val="634"/>
        </w:trPr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jc w:val="center"/>
              <w:rPr>
                <w:sz w:val="22"/>
                <w:szCs w:val="22"/>
              </w:rPr>
            </w:pPr>
            <w:r w:rsidRPr="00346951">
              <w:rPr>
                <w:b/>
                <w:bCs/>
                <w:color w:val="000000"/>
                <w:sz w:val="22"/>
                <w:szCs w:val="22"/>
              </w:rPr>
              <w:t>Hayat pahalılığına göre ülke türleri</w:t>
            </w:r>
          </w:p>
        </w:tc>
        <w:tc>
          <w:tcPr>
            <w:tcW w:w="2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jc w:val="center"/>
              <w:rPr>
                <w:sz w:val="22"/>
                <w:szCs w:val="22"/>
              </w:rPr>
            </w:pPr>
            <w:r w:rsidRPr="00346951">
              <w:rPr>
                <w:b/>
                <w:bCs/>
                <w:color w:val="000000"/>
                <w:sz w:val="22"/>
                <w:szCs w:val="22"/>
              </w:rPr>
              <w:t>Hareketlilikte Misafir Olunan Ülkeler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jc w:val="center"/>
              <w:rPr>
                <w:sz w:val="22"/>
                <w:szCs w:val="22"/>
              </w:rPr>
            </w:pPr>
            <w:r w:rsidRPr="00346951">
              <w:rPr>
                <w:b/>
                <w:bCs/>
                <w:color w:val="000000"/>
                <w:sz w:val="22"/>
                <w:szCs w:val="22"/>
              </w:rPr>
              <w:t>Aylık Öğrenci Staj Hibesi (€)</w:t>
            </w:r>
          </w:p>
        </w:tc>
      </w:tr>
      <w:tr w:rsidR="00180C1A" w:rsidRPr="00346951" w:rsidTr="004C7A9A">
        <w:trPr>
          <w:trHeight w:val="1112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1. Grup Program Ülkeleri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CE75A0">
            <w:pPr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Avusturya, Danimarka, Finlandiya, Fransa, İrlanda, İtalya, Lihtenştayn, Norveç, İsveç,  Birleşik Krallık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jc w:val="center"/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180C1A" w:rsidRPr="00346951" w:rsidTr="004C7A9A">
        <w:trPr>
          <w:trHeight w:val="1100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2. Grup Program Ülkeleri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Belçika, Hırvatistan, Çek Cumhuriyeti, Kıbrıs Rum Kesimi, Almanya, Yunanistan, İzlanda, Lüksemburg, Hollanda, Portekiz, Slovenya, İspanya, Türkiye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jc w:val="center"/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80C1A" w:rsidRPr="00346951" w:rsidTr="004C7A9A">
        <w:trPr>
          <w:trHeight w:val="987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3. Grup Program Ülkeleri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Bulgaristan, Estonya, Macaristan, Letonya, Litvanya, Malta, Polonya, Romanya, Slovakya, Makedonya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1A" w:rsidRPr="00346951" w:rsidRDefault="00180C1A" w:rsidP="004C7A9A">
            <w:pPr>
              <w:jc w:val="center"/>
              <w:rPr>
                <w:sz w:val="22"/>
                <w:szCs w:val="22"/>
              </w:rPr>
            </w:pPr>
            <w:r w:rsidRPr="00346951">
              <w:rPr>
                <w:color w:val="000000"/>
                <w:sz w:val="22"/>
                <w:szCs w:val="22"/>
              </w:rPr>
              <w:t>400</w:t>
            </w:r>
          </w:p>
        </w:tc>
      </w:tr>
    </w:tbl>
    <w:p w:rsidR="00317713" w:rsidRDefault="00124C51" w:rsidP="004C7A9A">
      <w:pPr>
        <w:tabs>
          <w:tab w:val="left" w:pos="1905"/>
        </w:tabs>
        <w:ind w:right="-710"/>
      </w:pPr>
      <w:r>
        <w:tab/>
        <w:t xml:space="preserve"> </w:t>
      </w:r>
    </w:p>
    <w:p w:rsidR="003517F9" w:rsidRPr="000C0E65" w:rsidRDefault="000C0E65" w:rsidP="000C0E65">
      <w:pPr>
        <w:tabs>
          <w:tab w:val="left" w:pos="1905"/>
        </w:tabs>
        <w:ind w:left="-142" w:right="-710"/>
        <w:jc w:val="center"/>
        <w:rPr>
          <w:b/>
        </w:rPr>
      </w:pPr>
      <w:r w:rsidRPr="000C0E65">
        <w:rPr>
          <w:b/>
        </w:rPr>
        <w:t>Kontenjanlar</w:t>
      </w:r>
    </w:p>
    <w:p w:rsidR="000C0E65" w:rsidRDefault="000C0E65" w:rsidP="000C0E65">
      <w:pPr>
        <w:tabs>
          <w:tab w:val="left" w:pos="1905"/>
        </w:tabs>
        <w:ind w:left="-142" w:right="-71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5"/>
        <w:gridCol w:w="3827"/>
      </w:tblGrid>
      <w:tr w:rsidR="007E5CBC" w:rsidRPr="00592273" w:rsidTr="007E5CBC">
        <w:tc>
          <w:tcPr>
            <w:tcW w:w="3030" w:type="pct"/>
          </w:tcPr>
          <w:p w:rsidR="007E5CBC" w:rsidRPr="00592273" w:rsidRDefault="007E5CBC" w:rsidP="009308CB">
            <w:pPr>
              <w:ind w:left="7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1970" w:type="pct"/>
          </w:tcPr>
          <w:p w:rsidR="007E5CBC" w:rsidRDefault="007E5CBC" w:rsidP="000C0E65">
            <w:pPr>
              <w:ind w:left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 Kontenjan</w:t>
            </w:r>
          </w:p>
        </w:tc>
      </w:tr>
      <w:tr w:rsidR="007E5CBC" w:rsidRPr="00655D5C" w:rsidTr="007E5CBC">
        <w:tc>
          <w:tcPr>
            <w:tcW w:w="3030" w:type="pct"/>
          </w:tcPr>
          <w:p w:rsidR="007E5CBC" w:rsidRPr="00655D5C" w:rsidRDefault="007E5CBC" w:rsidP="009308CB">
            <w:pPr>
              <w:ind w:left="707" w:hanging="673"/>
              <w:rPr>
                <w:b/>
                <w:sz w:val="22"/>
                <w:szCs w:val="22"/>
              </w:rPr>
            </w:pPr>
            <w:r w:rsidRPr="00655D5C">
              <w:rPr>
                <w:b/>
                <w:sz w:val="22"/>
                <w:szCs w:val="22"/>
              </w:rPr>
              <w:t>Fakülte</w:t>
            </w:r>
            <w:r w:rsidR="00B304F5">
              <w:rPr>
                <w:b/>
                <w:sz w:val="22"/>
                <w:szCs w:val="22"/>
              </w:rPr>
              <w:t xml:space="preserve">ler </w:t>
            </w:r>
            <w:r w:rsidRPr="00655D5C">
              <w:rPr>
                <w:b/>
                <w:sz w:val="22"/>
                <w:szCs w:val="22"/>
              </w:rPr>
              <w:t xml:space="preserve"> Toplamı</w:t>
            </w:r>
          </w:p>
        </w:tc>
        <w:tc>
          <w:tcPr>
            <w:tcW w:w="1970" w:type="pct"/>
          </w:tcPr>
          <w:p w:rsidR="007E5CBC" w:rsidRPr="00655D5C" w:rsidRDefault="00984113" w:rsidP="009308C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E5CBC" w:rsidRPr="00655D5C" w:rsidTr="007E5CBC">
        <w:tc>
          <w:tcPr>
            <w:tcW w:w="3030" w:type="pct"/>
          </w:tcPr>
          <w:p w:rsidR="007E5CBC" w:rsidRPr="00655D5C" w:rsidRDefault="007E5CBC" w:rsidP="009308CB">
            <w:pPr>
              <w:ind w:left="34"/>
              <w:rPr>
                <w:b/>
                <w:sz w:val="22"/>
                <w:szCs w:val="22"/>
              </w:rPr>
            </w:pPr>
            <w:r w:rsidRPr="00655D5C">
              <w:rPr>
                <w:b/>
                <w:sz w:val="22"/>
                <w:szCs w:val="22"/>
              </w:rPr>
              <w:t>Enstitü Toplamı</w:t>
            </w:r>
          </w:p>
        </w:tc>
        <w:tc>
          <w:tcPr>
            <w:tcW w:w="1970" w:type="pct"/>
          </w:tcPr>
          <w:p w:rsidR="007E5CBC" w:rsidRPr="00655D5C" w:rsidRDefault="009752C9" w:rsidP="009308CB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E5CBC" w:rsidRPr="00655D5C" w:rsidTr="007E5CBC">
        <w:tc>
          <w:tcPr>
            <w:tcW w:w="3030" w:type="pct"/>
          </w:tcPr>
          <w:p w:rsidR="007E5CBC" w:rsidRPr="00655D5C" w:rsidRDefault="007E5CBC" w:rsidP="009308CB">
            <w:pPr>
              <w:ind w:left="707" w:hanging="673"/>
              <w:rPr>
                <w:b/>
                <w:sz w:val="22"/>
                <w:szCs w:val="22"/>
              </w:rPr>
            </w:pPr>
            <w:r w:rsidRPr="00655D5C">
              <w:rPr>
                <w:b/>
                <w:sz w:val="22"/>
                <w:szCs w:val="22"/>
              </w:rPr>
              <w:t>Yüksekokullar</w:t>
            </w:r>
          </w:p>
        </w:tc>
        <w:tc>
          <w:tcPr>
            <w:tcW w:w="1970" w:type="pct"/>
          </w:tcPr>
          <w:p w:rsidR="007E5CBC" w:rsidRPr="00655D5C" w:rsidRDefault="007E5CBC" w:rsidP="009308C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E5CBC" w:rsidRPr="00655D5C" w:rsidTr="007E5CBC">
        <w:tc>
          <w:tcPr>
            <w:tcW w:w="3030" w:type="pct"/>
          </w:tcPr>
          <w:p w:rsidR="007E5CBC" w:rsidRPr="00655D5C" w:rsidRDefault="007E5CBC" w:rsidP="009308CB">
            <w:pPr>
              <w:ind w:left="707" w:hanging="673"/>
              <w:rPr>
                <w:b/>
                <w:sz w:val="22"/>
                <w:szCs w:val="22"/>
              </w:rPr>
            </w:pPr>
            <w:r w:rsidRPr="00655D5C">
              <w:rPr>
                <w:b/>
                <w:sz w:val="22"/>
                <w:szCs w:val="22"/>
              </w:rPr>
              <w:t>MYO’lar</w:t>
            </w:r>
          </w:p>
        </w:tc>
        <w:tc>
          <w:tcPr>
            <w:tcW w:w="1970" w:type="pct"/>
          </w:tcPr>
          <w:p w:rsidR="007E5CBC" w:rsidRPr="00655D5C" w:rsidRDefault="007E5CBC" w:rsidP="009308C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E5CBC" w:rsidRPr="00655D5C" w:rsidTr="007E5CBC">
        <w:tc>
          <w:tcPr>
            <w:tcW w:w="3030" w:type="pct"/>
          </w:tcPr>
          <w:p w:rsidR="007E5CBC" w:rsidRPr="00655D5C" w:rsidRDefault="007E5CBC" w:rsidP="009308CB">
            <w:pPr>
              <w:ind w:left="707" w:hanging="673"/>
              <w:rPr>
                <w:b/>
                <w:sz w:val="22"/>
                <w:szCs w:val="22"/>
              </w:rPr>
            </w:pPr>
            <w:r w:rsidRPr="00655D5C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970" w:type="pct"/>
          </w:tcPr>
          <w:p w:rsidR="007E5CBC" w:rsidRDefault="00984113" w:rsidP="009308C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807C6A" w:rsidRDefault="00807C6A" w:rsidP="00AA7602">
      <w:pPr>
        <w:jc w:val="both"/>
        <w:rPr>
          <w:b/>
        </w:rPr>
      </w:pPr>
    </w:p>
    <w:p w:rsidR="00FC2928" w:rsidRDefault="00FC2928" w:rsidP="00AA7602">
      <w:pPr>
        <w:jc w:val="both"/>
        <w:rPr>
          <w:sz w:val="22"/>
          <w:szCs w:val="22"/>
        </w:rPr>
      </w:pPr>
      <w:r>
        <w:rPr>
          <w:b/>
        </w:rPr>
        <w:t xml:space="preserve">Not: </w:t>
      </w:r>
      <w:r w:rsidR="00EA26B3">
        <w:rPr>
          <w:sz w:val="22"/>
          <w:szCs w:val="22"/>
        </w:rPr>
        <w:t xml:space="preserve">Öğrencilerin gidecekleri ülkelere göre hibe miktarı değişeceği için kontenjanlar farklılık gösterebilir. </w:t>
      </w:r>
      <w:r>
        <w:rPr>
          <w:sz w:val="22"/>
          <w:szCs w:val="22"/>
        </w:rPr>
        <w:t>A</w:t>
      </w:r>
      <w:r w:rsidRPr="00240899">
        <w:rPr>
          <w:sz w:val="22"/>
          <w:szCs w:val="22"/>
        </w:rPr>
        <w:t xml:space="preserve">yrılan kontenjanların dolmaması durumunda fazla talep olan birimlere öğrenci sayıları ile orantılı </w:t>
      </w:r>
      <w:r>
        <w:rPr>
          <w:sz w:val="22"/>
          <w:szCs w:val="22"/>
        </w:rPr>
        <w:t>olarak kontenjanlar aktarılacaktır.</w:t>
      </w:r>
    </w:p>
    <w:p w:rsidR="004A3229" w:rsidRDefault="004A3229" w:rsidP="00AA5C6B">
      <w:pPr>
        <w:tabs>
          <w:tab w:val="left" w:pos="1905"/>
        </w:tabs>
        <w:ind w:right="-710"/>
      </w:pPr>
    </w:p>
    <w:sectPr w:rsidR="004A3229" w:rsidSect="004A3229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8C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30DC6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7CF"/>
    <w:multiLevelType w:val="hybridMultilevel"/>
    <w:tmpl w:val="9990AB9C"/>
    <w:lvl w:ilvl="0" w:tplc="1DD27B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F9F7F18"/>
    <w:multiLevelType w:val="hybridMultilevel"/>
    <w:tmpl w:val="E278A01A"/>
    <w:lvl w:ilvl="0" w:tplc="E00A8014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2020614"/>
    <w:multiLevelType w:val="hybridMultilevel"/>
    <w:tmpl w:val="03EEFE9A"/>
    <w:lvl w:ilvl="0" w:tplc="80689E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46701"/>
    <w:rsid w:val="00006C61"/>
    <w:rsid w:val="0001115B"/>
    <w:rsid w:val="000129E2"/>
    <w:rsid w:val="00036AA8"/>
    <w:rsid w:val="000527B3"/>
    <w:rsid w:val="00063E69"/>
    <w:rsid w:val="000675D7"/>
    <w:rsid w:val="0007251B"/>
    <w:rsid w:val="00073444"/>
    <w:rsid w:val="00085E52"/>
    <w:rsid w:val="00087213"/>
    <w:rsid w:val="000A2AB4"/>
    <w:rsid w:val="000B2414"/>
    <w:rsid w:val="000B63B5"/>
    <w:rsid w:val="000C0E65"/>
    <w:rsid w:val="000C7F90"/>
    <w:rsid w:val="000D29C3"/>
    <w:rsid w:val="000E00AE"/>
    <w:rsid w:val="000F6C7E"/>
    <w:rsid w:val="000F6D9D"/>
    <w:rsid w:val="00102D7B"/>
    <w:rsid w:val="0010438B"/>
    <w:rsid w:val="00106E98"/>
    <w:rsid w:val="001124BD"/>
    <w:rsid w:val="00124C51"/>
    <w:rsid w:val="00126ACE"/>
    <w:rsid w:val="00134A64"/>
    <w:rsid w:val="001426A9"/>
    <w:rsid w:val="00142FDD"/>
    <w:rsid w:val="00147AA9"/>
    <w:rsid w:val="00147C4F"/>
    <w:rsid w:val="00175EFC"/>
    <w:rsid w:val="00180C1A"/>
    <w:rsid w:val="00191E73"/>
    <w:rsid w:val="001B1E3C"/>
    <w:rsid w:val="001B69A4"/>
    <w:rsid w:val="001D0DC3"/>
    <w:rsid w:val="00202261"/>
    <w:rsid w:val="002116F0"/>
    <w:rsid w:val="00215A58"/>
    <w:rsid w:val="00240757"/>
    <w:rsid w:val="00242F92"/>
    <w:rsid w:val="00246701"/>
    <w:rsid w:val="00247451"/>
    <w:rsid w:val="002622F3"/>
    <w:rsid w:val="0027729D"/>
    <w:rsid w:val="002A477D"/>
    <w:rsid w:val="002A7096"/>
    <w:rsid w:val="002C350D"/>
    <w:rsid w:val="002D30AB"/>
    <w:rsid w:val="00306DA1"/>
    <w:rsid w:val="003074AD"/>
    <w:rsid w:val="003109B7"/>
    <w:rsid w:val="00317713"/>
    <w:rsid w:val="0033221E"/>
    <w:rsid w:val="00346951"/>
    <w:rsid w:val="003517F9"/>
    <w:rsid w:val="00354C31"/>
    <w:rsid w:val="003621D1"/>
    <w:rsid w:val="00363699"/>
    <w:rsid w:val="003664C1"/>
    <w:rsid w:val="003A437C"/>
    <w:rsid w:val="003C4A86"/>
    <w:rsid w:val="003C6435"/>
    <w:rsid w:val="003D4160"/>
    <w:rsid w:val="003E3231"/>
    <w:rsid w:val="003F4A6E"/>
    <w:rsid w:val="00415C51"/>
    <w:rsid w:val="00420764"/>
    <w:rsid w:val="00441242"/>
    <w:rsid w:val="004507FA"/>
    <w:rsid w:val="00477395"/>
    <w:rsid w:val="00480002"/>
    <w:rsid w:val="004901EB"/>
    <w:rsid w:val="00496972"/>
    <w:rsid w:val="004A3229"/>
    <w:rsid w:val="004C0FA3"/>
    <w:rsid w:val="004C408A"/>
    <w:rsid w:val="004C7A9A"/>
    <w:rsid w:val="004E4622"/>
    <w:rsid w:val="004E65EB"/>
    <w:rsid w:val="005068E2"/>
    <w:rsid w:val="00513943"/>
    <w:rsid w:val="005215B0"/>
    <w:rsid w:val="005325A8"/>
    <w:rsid w:val="0053288B"/>
    <w:rsid w:val="005350A4"/>
    <w:rsid w:val="00544154"/>
    <w:rsid w:val="005646BB"/>
    <w:rsid w:val="005657E3"/>
    <w:rsid w:val="00584913"/>
    <w:rsid w:val="005915D5"/>
    <w:rsid w:val="005A46A2"/>
    <w:rsid w:val="005A4C8C"/>
    <w:rsid w:val="005D358F"/>
    <w:rsid w:val="005E28FB"/>
    <w:rsid w:val="0065734F"/>
    <w:rsid w:val="00660CD9"/>
    <w:rsid w:val="00666DC0"/>
    <w:rsid w:val="006747F1"/>
    <w:rsid w:val="00683E66"/>
    <w:rsid w:val="00692E72"/>
    <w:rsid w:val="006A3860"/>
    <w:rsid w:val="006C5FA6"/>
    <w:rsid w:val="006E04DF"/>
    <w:rsid w:val="006E6EA4"/>
    <w:rsid w:val="006F36DE"/>
    <w:rsid w:val="006F4035"/>
    <w:rsid w:val="00703C83"/>
    <w:rsid w:val="007427A5"/>
    <w:rsid w:val="00773491"/>
    <w:rsid w:val="00773EFD"/>
    <w:rsid w:val="007C1500"/>
    <w:rsid w:val="007D096A"/>
    <w:rsid w:val="007E5CBC"/>
    <w:rsid w:val="007F014B"/>
    <w:rsid w:val="00807C6A"/>
    <w:rsid w:val="00823F9D"/>
    <w:rsid w:val="00825CDC"/>
    <w:rsid w:val="0083343F"/>
    <w:rsid w:val="00847E53"/>
    <w:rsid w:val="00855311"/>
    <w:rsid w:val="008617FD"/>
    <w:rsid w:val="00881620"/>
    <w:rsid w:val="008953A1"/>
    <w:rsid w:val="008A4916"/>
    <w:rsid w:val="008C40D4"/>
    <w:rsid w:val="008C600D"/>
    <w:rsid w:val="008E7FD2"/>
    <w:rsid w:val="008F1F7F"/>
    <w:rsid w:val="00911C5B"/>
    <w:rsid w:val="00911F8D"/>
    <w:rsid w:val="009308CB"/>
    <w:rsid w:val="0097204C"/>
    <w:rsid w:val="009752C9"/>
    <w:rsid w:val="00977FD7"/>
    <w:rsid w:val="0098370C"/>
    <w:rsid w:val="00984113"/>
    <w:rsid w:val="00A04B22"/>
    <w:rsid w:val="00A06AE2"/>
    <w:rsid w:val="00A104D6"/>
    <w:rsid w:val="00A13EE4"/>
    <w:rsid w:val="00A2603B"/>
    <w:rsid w:val="00AA5C6B"/>
    <w:rsid w:val="00AA7602"/>
    <w:rsid w:val="00AC1D37"/>
    <w:rsid w:val="00AD5D92"/>
    <w:rsid w:val="00AE20A7"/>
    <w:rsid w:val="00B025AD"/>
    <w:rsid w:val="00B16CD8"/>
    <w:rsid w:val="00B26328"/>
    <w:rsid w:val="00B27EFC"/>
    <w:rsid w:val="00B304F5"/>
    <w:rsid w:val="00B313B1"/>
    <w:rsid w:val="00B32444"/>
    <w:rsid w:val="00B34FA8"/>
    <w:rsid w:val="00B56A65"/>
    <w:rsid w:val="00B74258"/>
    <w:rsid w:val="00B8050A"/>
    <w:rsid w:val="00B828E9"/>
    <w:rsid w:val="00B85606"/>
    <w:rsid w:val="00B8596C"/>
    <w:rsid w:val="00B93CFC"/>
    <w:rsid w:val="00BA15E5"/>
    <w:rsid w:val="00BC2DC6"/>
    <w:rsid w:val="00BD7040"/>
    <w:rsid w:val="00BF58EF"/>
    <w:rsid w:val="00C102C4"/>
    <w:rsid w:val="00C223D0"/>
    <w:rsid w:val="00C2444B"/>
    <w:rsid w:val="00C465F8"/>
    <w:rsid w:val="00C558A5"/>
    <w:rsid w:val="00C5711E"/>
    <w:rsid w:val="00C57B59"/>
    <w:rsid w:val="00C635F1"/>
    <w:rsid w:val="00C657E4"/>
    <w:rsid w:val="00C84600"/>
    <w:rsid w:val="00C94B45"/>
    <w:rsid w:val="00C95217"/>
    <w:rsid w:val="00CA2A0E"/>
    <w:rsid w:val="00CA410E"/>
    <w:rsid w:val="00CA7CFE"/>
    <w:rsid w:val="00CB00DF"/>
    <w:rsid w:val="00CC3DC4"/>
    <w:rsid w:val="00CD45A1"/>
    <w:rsid w:val="00CD610C"/>
    <w:rsid w:val="00CE5062"/>
    <w:rsid w:val="00CE75A0"/>
    <w:rsid w:val="00CF627D"/>
    <w:rsid w:val="00D12217"/>
    <w:rsid w:val="00D22FA3"/>
    <w:rsid w:val="00D360E7"/>
    <w:rsid w:val="00D40C51"/>
    <w:rsid w:val="00D45DA1"/>
    <w:rsid w:val="00D52B7E"/>
    <w:rsid w:val="00D653A3"/>
    <w:rsid w:val="00D76DAF"/>
    <w:rsid w:val="00DC2B9A"/>
    <w:rsid w:val="00DD0501"/>
    <w:rsid w:val="00DE21EA"/>
    <w:rsid w:val="00DF03A2"/>
    <w:rsid w:val="00E1666D"/>
    <w:rsid w:val="00E22221"/>
    <w:rsid w:val="00E30B1E"/>
    <w:rsid w:val="00E431F9"/>
    <w:rsid w:val="00E43B40"/>
    <w:rsid w:val="00E55314"/>
    <w:rsid w:val="00E6534E"/>
    <w:rsid w:val="00EA164B"/>
    <w:rsid w:val="00EA26B3"/>
    <w:rsid w:val="00EA55F1"/>
    <w:rsid w:val="00EB76A7"/>
    <w:rsid w:val="00ED405B"/>
    <w:rsid w:val="00ED7974"/>
    <w:rsid w:val="00EE18FE"/>
    <w:rsid w:val="00EF3BC5"/>
    <w:rsid w:val="00F061CA"/>
    <w:rsid w:val="00F57BA1"/>
    <w:rsid w:val="00FC2928"/>
    <w:rsid w:val="00FC7F02"/>
    <w:rsid w:val="00FE2A3B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2597-FF03-44CE-B1CE-86EB2D8E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uib</cp:lastModifiedBy>
  <cp:revision>11</cp:revision>
  <cp:lastPrinted>2016-04-27T11:00:00Z</cp:lastPrinted>
  <dcterms:created xsi:type="dcterms:W3CDTF">2017-03-20T11:23:00Z</dcterms:created>
  <dcterms:modified xsi:type="dcterms:W3CDTF">2017-03-21T13:03:00Z</dcterms:modified>
</cp:coreProperties>
</file>